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eastAsia="方正小标宋简体"/>
          <w:bCs w:val="0"/>
          <w:color w:val="auto"/>
          <w:sz w:val="36"/>
          <w:szCs w:val="36"/>
        </w:rPr>
      </w:pPr>
      <w:r>
        <w:rPr>
          <w:rStyle w:val="4"/>
          <w:rFonts w:eastAsia="方正小标宋简体"/>
          <w:b w:val="0"/>
          <w:color w:val="auto"/>
          <w:sz w:val="36"/>
          <w:szCs w:val="36"/>
        </w:rPr>
        <w:t>浙江省科学技术奖公示信息表</w:t>
      </w:r>
      <w:r>
        <w:rPr>
          <w:rStyle w:val="4"/>
          <w:rFonts w:eastAsia="仿宋_GB2312"/>
          <w:b w:val="0"/>
          <w:color w:val="auto"/>
          <w:sz w:val="32"/>
          <w:szCs w:val="32"/>
        </w:rPr>
        <w:t>（单位提名）</w:t>
      </w:r>
    </w:p>
    <w:p>
      <w:pPr>
        <w:spacing w:line="440" w:lineRule="exact"/>
        <w:rPr>
          <w:rFonts w:eastAsia="仿宋_GB2312"/>
          <w:color w:val="000000" w:themeColor="text1"/>
          <w:sz w:val="28"/>
          <w:szCs w:val="24"/>
          <w14:textFill>
            <w14:solidFill>
              <w14:schemeClr w14:val="tx1"/>
            </w14:solidFill>
          </w14:textFill>
        </w:rPr>
      </w:pPr>
      <w:r>
        <w:rPr>
          <w:rFonts w:eastAsia="仿宋_GB2312"/>
          <w:color w:val="auto"/>
          <w:sz w:val="28"/>
          <w:szCs w:val="24"/>
        </w:rPr>
        <w:t>提名奖项：</w:t>
      </w:r>
      <w:r>
        <w:rPr>
          <w:rFonts w:eastAsia="仿宋_GB2312"/>
          <w:b/>
          <w:bCs/>
          <w:color w:val="000000" w:themeColor="text1"/>
          <w:sz w:val="28"/>
          <w:szCs w:val="24"/>
          <w14:textFill>
            <w14:solidFill>
              <w14:schemeClr w14:val="tx1"/>
            </w14:solidFill>
          </w14:textFill>
        </w:rPr>
        <w:t>（自然科学奖）</w:t>
      </w:r>
    </w:p>
    <w:tbl>
      <w:tblPr>
        <w:tblStyle w:val="2"/>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4"/>
        <w:gridCol w:w="7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474" w:type="dxa"/>
            <w:vAlign w:val="center"/>
          </w:tcPr>
          <w:p>
            <w:pPr>
              <w:jc w:val="center"/>
              <w:rPr>
                <w:rStyle w:val="4"/>
                <w:rFonts w:eastAsia="仿宋_GB2312"/>
                <w:b w:val="0"/>
                <w:color w:val="auto"/>
                <w:sz w:val="28"/>
              </w:rPr>
            </w:pPr>
            <w:r>
              <w:rPr>
                <w:rStyle w:val="4"/>
                <w:rFonts w:eastAsia="仿宋_GB2312"/>
                <w:b w:val="0"/>
                <w:bCs w:val="0"/>
                <w:color w:val="auto"/>
                <w:sz w:val="28"/>
              </w:rPr>
              <w:t>成果名称</w:t>
            </w:r>
          </w:p>
        </w:tc>
        <w:tc>
          <w:tcPr>
            <w:tcW w:w="7032" w:type="dxa"/>
            <w:vAlign w:val="center"/>
          </w:tcPr>
          <w:p>
            <w:pPr>
              <w:jc w:val="center"/>
              <w:rPr>
                <w:rStyle w:val="4"/>
                <w:rFonts w:eastAsia="仿宋_GB2312"/>
                <w:b w:val="0"/>
                <w:color w:val="auto"/>
                <w:sz w:val="28"/>
              </w:rPr>
            </w:pPr>
            <w:r>
              <w:rPr>
                <w:rFonts w:hint="eastAsia"/>
                <w:highlight w:val="none"/>
              </w:rPr>
              <w:t>铜绿假单胞菌抗药相关膜转运蛋白AmpG的构效关系研究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474" w:type="dxa"/>
            <w:vAlign w:val="center"/>
          </w:tcPr>
          <w:p>
            <w:pPr>
              <w:jc w:val="center"/>
              <w:rPr>
                <w:rStyle w:val="4"/>
                <w:rFonts w:eastAsia="仿宋_GB2312"/>
                <w:b w:val="0"/>
                <w:color w:val="auto"/>
                <w:sz w:val="28"/>
              </w:rPr>
            </w:pPr>
            <w:r>
              <w:rPr>
                <w:rStyle w:val="4"/>
                <w:rFonts w:eastAsia="仿宋_GB2312"/>
                <w:b w:val="0"/>
                <w:bCs w:val="0"/>
                <w:color w:val="auto"/>
                <w:sz w:val="28"/>
              </w:rPr>
              <w:t>提名等级</w:t>
            </w:r>
          </w:p>
        </w:tc>
        <w:tc>
          <w:tcPr>
            <w:tcW w:w="7032" w:type="dxa"/>
            <w:vAlign w:val="center"/>
          </w:tcPr>
          <w:p>
            <w:pPr>
              <w:jc w:val="center"/>
              <w:rPr>
                <w:rStyle w:val="4"/>
                <w:rFonts w:hint="eastAsia" w:eastAsia="仿宋_GB2312"/>
                <w:b w:val="0"/>
                <w:color w:val="auto"/>
                <w:sz w:val="28"/>
                <w:lang w:eastAsia="zh-CN"/>
              </w:rPr>
            </w:pPr>
            <w:r>
              <w:rPr>
                <w:rStyle w:val="4"/>
                <w:rFonts w:hint="eastAsia" w:eastAsia="仿宋_GB2312"/>
                <w:b w:val="0"/>
                <w:color w:val="auto"/>
                <w:sz w:val="28"/>
                <w:lang w:eastAsia="zh-CN"/>
              </w:rPr>
              <w:t>二等奖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1" w:hRule="atLeast"/>
        </w:trPr>
        <w:tc>
          <w:tcPr>
            <w:tcW w:w="1474" w:type="dxa"/>
            <w:vAlign w:val="center"/>
          </w:tcPr>
          <w:p>
            <w:pPr>
              <w:spacing w:line="440" w:lineRule="exact"/>
              <w:jc w:val="center"/>
              <w:rPr>
                <w:rFonts w:eastAsia="仿宋_GB2312"/>
                <w:bCs/>
                <w:color w:val="auto"/>
                <w:sz w:val="28"/>
                <w:szCs w:val="24"/>
              </w:rPr>
            </w:pPr>
            <w:r>
              <w:rPr>
                <w:rFonts w:eastAsia="仿宋_GB2312"/>
                <w:bCs/>
                <w:color w:val="auto"/>
                <w:sz w:val="28"/>
                <w:szCs w:val="24"/>
              </w:rPr>
              <w:t>提名书</w:t>
            </w:r>
          </w:p>
          <w:p>
            <w:pPr>
              <w:spacing w:line="440" w:lineRule="exact"/>
              <w:jc w:val="center"/>
              <w:rPr>
                <w:rFonts w:eastAsia="仿宋_GB2312"/>
                <w:bCs/>
                <w:color w:val="auto"/>
                <w:sz w:val="28"/>
                <w:szCs w:val="24"/>
              </w:rPr>
            </w:pPr>
            <w:r>
              <w:rPr>
                <w:rFonts w:eastAsia="仿宋_GB2312"/>
                <w:bCs/>
                <w:color w:val="auto"/>
                <w:sz w:val="28"/>
                <w:szCs w:val="24"/>
              </w:rPr>
              <w:t>相关内容</w:t>
            </w:r>
          </w:p>
        </w:tc>
        <w:tc>
          <w:tcPr>
            <w:tcW w:w="7032" w:type="dxa"/>
            <w:vAlign w:val="center"/>
          </w:tcPr>
          <w:p>
            <w:pPr>
              <w:numPr>
                <w:ilvl w:val="0"/>
                <w:numId w:val="1"/>
              </w:numPr>
              <w:spacing w:before="60" w:after="60"/>
              <w:rPr>
                <w:bCs/>
                <w:highlight w:val="none"/>
              </w:rPr>
            </w:pPr>
            <w:r>
              <w:rPr>
                <w:bCs/>
                <w:highlight w:val="none"/>
                <w:lang w:val="en-US" w:eastAsia="zh-CN"/>
              </w:rPr>
              <w:t>Peizhen Li</w:t>
            </w:r>
            <w:r>
              <w:rPr>
                <w:rFonts w:hint="default"/>
                <w:bCs/>
                <w:highlight w:val="none"/>
                <w:lang w:val="en-US" w:eastAsia="zh-CN"/>
              </w:rPr>
              <w:t>, Jun Ying, Guangjian Yang, Aifang Li, Jian Wang, Junwan Lu,</w:t>
            </w:r>
            <w:r>
              <w:rPr>
                <w:rFonts w:hint="eastAsia"/>
                <w:bCs/>
                <w:highlight w:val="none"/>
                <w:lang w:val="en-US" w:eastAsia="zh-CN"/>
              </w:rPr>
              <w:t xml:space="preserve"> </w:t>
            </w:r>
            <w:r>
              <w:rPr>
                <w:rFonts w:hint="default"/>
                <w:bCs/>
                <w:highlight w:val="none"/>
                <w:lang w:val="en-US" w:eastAsia="zh-CN"/>
              </w:rPr>
              <w:t>Junrong Wang, Teng Xu, Huiguang Yi, Kewei Li, Shouguang Jin, Qiyu Bao</w:t>
            </w:r>
            <w:r>
              <w:rPr>
                <w:bCs/>
                <w:highlight w:val="none"/>
                <w:lang w:val="en-US" w:eastAsia="zh-CN"/>
              </w:rPr>
              <w:t>*</w:t>
            </w:r>
            <w:r>
              <w:rPr>
                <w:rFonts w:hint="default"/>
                <w:bCs/>
                <w:highlight w:val="none"/>
                <w:lang w:val="en-US" w:eastAsia="zh-CN"/>
              </w:rPr>
              <w:t>, Kaibo Zhang*</w:t>
            </w:r>
            <w:r>
              <w:rPr>
                <w:rFonts w:hint="eastAsia"/>
                <w:bCs/>
                <w:highlight w:val="none"/>
                <w:lang w:val="en-US" w:eastAsia="zh-CN"/>
              </w:rPr>
              <w:t xml:space="preserve">. </w:t>
            </w:r>
            <w:r>
              <w:rPr>
                <w:bCs/>
                <w:highlight w:val="none"/>
              </w:rPr>
              <w:t xml:space="preserve">Structure-Function Analysis of the Transmembrane Protein AmpG from Pseudomonas aeruginosa. </w:t>
            </w:r>
            <w:r>
              <w:rPr>
                <w:b/>
                <w:bCs w:val="0"/>
                <w:i/>
                <w:iCs/>
                <w:highlight w:val="none"/>
              </w:rPr>
              <w:t>PLoS One</w:t>
            </w:r>
            <w:r>
              <w:rPr>
                <w:bCs/>
                <w:highlight w:val="none"/>
              </w:rPr>
              <w:t>. 2016 Dec 13;11(12):e0168060.</w:t>
            </w:r>
          </w:p>
          <w:p>
            <w:pPr>
              <w:numPr>
                <w:ilvl w:val="0"/>
                <w:numId w:val="1"/>
              </w:numPr>
              <w:spacing w:before="60" w:after="60"/>
              <w:rPr>
                <w:bCs/>
                <w:highlight w:val="none"/>
              </w:rPr>
            </w:pPr>
            <w:r>
              <w:rPr>
                <w:bCs/>
                <w:highlight w:val="none"/>
                <w:lang w:val="en-US" w:eastAsia="zh-CN"/>
              </w:rPr>
              <w:t>Kewei Li</w:t>
            </w:r>
            <w:r>
              <w:rPr>
                <w:rFonts w:hint="default"/>
                <w:bCs/>
                <w:highlight w:val="none"/>
                <w:lang w:val="en-US" w:eastAsia="zh-CN"/>
              </w:rPr>
              <w:t>, Guangjian Yang, Alexander B. Debru, Pingping Li, Li Zong, Peizhen Li, Teng Xu, Weihui Wu*, Shouguang Jin* and Qiyu Bao*</w:t>
            </w:r>
            <w:r>
              <w:rPr>
                <w:rFonts w:hint="eastAsia"/>
                <w:bCs/>
                <w:highlight w:val="none"/>
                <w:lang w:val="en-US" w:eastAsia="zh-CN"/>
              </w:rPr>
              <w:t>.</w:t>
            </w:r>
            <w:r>
              <w:rPr>
                <w:bCs/>
                <w:highlight w:val="none"/>
              </w:rPr>
              <w:t xml:space="preserve"> SuhB Regulates the Motile-Sessile Switch in Pseudomonas aeruginosa through the Gac/Rsm Pathway and c-di-GMP Signaling. </w:t>
            </w:r>
            <w:r>
              <w:rPr>
                <w:b/>
                <w:bCs w:val="0"/>
                <w:i/>
                <w:iCs/>
                <w:highlight w:val="none"/>
              </w:rPr>
              <w:t>Front Microbiol.</w:t>
            </w:r>
            <w:r>
              <w:rPr>
                <w:bCs/>
                <w:highlight w:val="none"/>
              </w:rPr>
              <w:t xml:space="preserve"> 2017 Jun 8;8:1045. doi: 10.3389/fmicb.2017.01045.</w:t>
            </w:r>
          </w:p>
          <w:p>
            <w:pPr>
              <w:numPr>
                <w:ilvl w:val="0"/>
                <w:numId w:val="1"/>
              </w:numPr>
              <w:spacing w:before="60" w:after="60"/>
              <w:rPr>
                <w:bCs/>
                <w:highlight w:val="none"/>
              </w:rPr>
            </w:pPr>
            <w:r>
              <w:rPr>
                <w:bCs/>
                <w:highlight w:val="none"/>
                <w:lang w:val="en-US" w:eastAsia="zh-CN"/>
              </w:rPr>
              <w:t>Lingli Hou</w:t>
            </w:r>
            <w:r>
              <w:rPr>
                <w:rFonts w:hint="default"/>
                <w:bCs/>
                <w:highlight w:val="none"/>
                <w:lang w:val="en-US" w:eastAsia="zh-CN"/>
              </w:rPr>
              <w:t>, Alexander Debru, Qianqian Chen, Qiyu Bao* and Kewei Li*</w:t>
            </w:r>
            <w:r>
              <w:rPr>
                <w:rFonts w:hint="eastAsia"/>
                <w:bCs/>
                <w:highlight w:val="none"/>
                <w:lang w:val="en-US" w:eastAsia="zh-CN"/>
              </w:rPr>
              <w:t>.</w:t>
            </w:r>
            <w:r>
              <w:rPr>
                <w:bCs/>
                <w:highlight w:val="none"/>
              </w:rPr>
              <w:t xml:space="preserve"> AmrZ Regulates Swarming Motility Through Cyclic di-GMP-Dependent Motility Inhibition and Controlling Pel Polysaccharide Pro4duction in Pseudomonas aeruginosa PA14. </w:t>
            </w:r>
            <w:r>
              <w:rPr>
                <w:b/>
                <w:bCs w:val="0"/>
                <w:i/>
                <w:iCs/>
                <w:highlight w:val="none"/>
              </w:rPr>
              <w:t>Front Microbiol</w:t>
            </w:r>
            <w:r>
              <w:rPr>
                <w:bCs/>
                <w:highlight w:val="none"/>
              </w:rPr>
              <w:t>. 2019 Aug 14;10:1847. doi: 10.3389/fmicb.2019.01847.</w:t>
            </w:r>
          </w:p>
          <w:p>
            <w:pPr>
              <w:numPr>
                <w:ilvl w:val="0"/>
                <w:numId w:val="1"/>
              </w:numPr>
              <w:spacing w:before="60" w:after="60"/>
              <w:rPr>
                <w:bCs/>
                <w:highlight w:val="none"/>
              </w:rPr>
            </w:pPr>
            <w:r>
              <w:rPr>
                <w:bCs/>
                <w:highlight w:val="none"/>
              </w:rPr>
              <w:t>Qianqian Chen, Wangxiao Zhou, Changrui Qian, Kai Shen, Xinyi Zhu, Danying Zhou, Zhewei Sun, Wei Lu, Hongmao Liu, Kewei Li, Teng Xu, Qiyu Bao* and Junwan Lu*. OXA-830, a Novel Chromosomally Encoded Extended-Spectrum Class D β-Lactamase in Aeromonas simiae.</w:t>
            </w:r>
            <w:r>
              <w:rPr>
                <w:b/>
                <w:bCs w:val="0"/>
                <w:i/>
                <w:iCs/>
                <w:highlight w:val="none"/>
              </w:rPr>
              <w:t xml:space="preserve"> Front Microbiol.</w:t>
            </w:r>
            <w:r>
              <w:rPr>
                <w:rFonts w:hint="eastAsia"/>
                <w:b/>
                <w:bCs w:val="0"/>
                <w:i/>
                <w:iCs/>
                <w:highlight w:val="none"/>
                <w:lang w:val="en-US" w:eastAsia="zh-CN"/>
              </w:rPr>
              <w:t xml:space="preserve"> </w:t>
            </w:r>
            <w:r>
              <w:rPr>
                <w:bCs/>
                <w:highlight w:val="none"/>
              </w:rPr>
              <w:t xml:space="preserve">2019 Nov 26; 10:2732. doi: 10.3389/fmicb.2019.02732. </w:t>
            </w:r>
          </w:p>
          <w:p>
            <w:pPr>
              <w:numPr>
                <w:ilvl w:val="0"/>
                <w:numId w:val="1"/>
              </w:numPr>
              <w:spacing w:before="60" w:after="60"/>
              <w:rPr>
                <w:bCs/>
                <w:sz w:val="21"/>
                <w:szCs w:val="21"/>
                <w:highlight w:val="none"/>
              </w:rPr>
            </w:pPr>
            <w:r>
              <w:rPr>
                <w:sz w:val="21"/>
                <w:szCs w:val="21"/>
                <w:highlight w:val="none"/>
              </w:rPr>
              <w:t xml:space="preserve">Jian Wang, Teng Xu, Jun Ying, Wangxiao Zhou, Qianqian Chen, Changrui Qian, Xinyi Zhu, Kai Shen, Peizhen Li, Kewei Li, </w:t>
            </w:r>
            <w:r>
              <w:rPr>
                <w:b/>
                <w:sz w:val="21"/>
                <w:szCs w:val="21"/>
                <w:highlight w:val="none"/>
              </w:rPr>
              <w:t>Qiyu Bao,</w:t>
            </w:r>
            <w:r>
              <w:rPr>
                <w:sz w:val="21"/>
                <w:szCs w:val="21"/>
                <w:highlight w:val="none"/>
              </w:rPr>
              <w:t>*</w:t>
            </w:r>
            <w:r>
              <w:rPr>
                <w:rFonts w:hint="eastAsia"/>
                <w:sz w:val="21"/>
                <w:szCs w:val="21"/>
                <w:highlight w:val="none"/>
              </w:rPr>
              <w:t xml:space="preserve"> and</w:t>
            </w:r>
            <w:r>
              <w:rPr>
                <w:sz w:val="21"/>
                <w:szCs w:val="21"/>
                <w:highlight w:val="none"/>
              </w:rPr>
              <w:t xml:space="preserve"> Junwan Lu*</w:t>
            </w:r>
            <w:r>
              <w:rPr>
                <w:rFonts w:hint="eastAsia"/>
                <w:sz w:val="21"/>
                <w:szCs w:val="21"/>
                <w:highlight w:val="none"/>
              </w:rPr>
              <w:t xml:space="preserve">. </w:t>
            </w:r>
            <w:r>
              <w:rPr>
                <w:sz w:val="21"/>
                <w:szCs w:val="21"/>
                <w:highlight w:val="none"/>
              </w:rPr>
              <w:t>PAU-1, a novel plasmid-encoded Ambler class A β-lactamase identified in a clinical Pseudomonas aeruginosa isolate</w:t>
            </w:r>
            <w:r>
              <w:rPr>
                <w:rFonts w:hint="eastAsia"/>
                <w:sz w:val="21"/>
                <w:szCs w:val="21"/>
                <w:highlight w:val="none"/>
              </w:rPr>
              <w:t xml:space="preserve">. </w:t>
            </w:r>
            <w:r>
              <w:rPr>
                <w:b/>
                <w:i/>
                <w:sz w:val="21"/>
                <w:szCs w:val="21"/>
                <w:highlight w:val="none"/>
              </w:rPr>
              <w:t>Infect Drug Resist</w:t>
            </w:r>
            <w:r>
              <w:rPr>
                <w:sz w:val="21"/>
                <w:szCs w:val="21"/>
                <w:highlight w:val="none"/>
              </w:rPr>
              <w:t xml:space="preserve">. 2019 Dec 5;12:3827-3834. doi: 10.2147/IDR.S225288.  </w:t>
            </w:r>
          </w:p>
          <w:p>
            <w:pPr>
              <w:numPr>
                <w:ilvl w:val="0"/>
                <w:numId w:val="1"/>
              </w:numPr>
              <w:spacing w:before="60" w:after="60"/>
              <w:rPr>
                <w:bCs/>
                <w:highlight w:val="none"/>
              </w:rPr>
            </w:pPr>
            <w:r>
              <w:rPr>
                <w:bCs/>
                <w:highlight w:val="none"/>
                <w:lang w:val="en-US" w:eastAsia="zh-CN"/>
              </w:rPr>
              <w:t>Pingping Li</w:t>
            </w:r>
            <w:r>
              <w:rPr>
                <w:rFonts w:hint="default"/>
                <w:bCs/>
                <w:highlight w:val="none"/>
                <w:lang w:val="en-US" w:eastAsia="zh-CN"/>
              </w:rPr>
              <w:t>†, Kai Shen† , Ying Zhang†, Jianchao Ying, Tingyuan Zhu, Yabo Liu, Lei Xu, Chaoqing Lin, Kaibo Zhang*, Peizhen Li, Junwan Lu, Kewei Li, Huiguang Yi, Qiyu Bao and Teng Xu*</w:t>
            </w:r>
            <w:r>
              <w:rPr>
                <w:rFonts w:hint="eastAsia"/>
                <w:bCs/>
                <w:highlight w:val="none"/>
                <w:lang w:val="en-US" w:eastAsia="zh-CN"/>
              </w:rPr>
              <w:t>.</w:t>
            </w:r>
            <w:r>
              <w:rPr>
                <w:rFonts w:hint="default"/>
                <w:bCs/>
                <w:highlight w:val="none"/>
                <w:lang w:val="en-US" w:eastAsia="zh-CN"/>
              </w:rPr>
              <w:t xml:space="preserve"> </w:t>
            </w:r>
            <w:r>
              <w:rPr>
                <w:bCs/>
                <w:highlight w:val="none"/>
              </w:rPr>
              <w:t>Characterization of a Novel blaKLUC Variant With Reduced β-Lactam Resistance From an IncA/C Group Plasmid in a Clinical Klebsiella pneumoniae Isolate.</w:t>
            </w:r>
            <w:r>
              <w:rPr>
                <w:b/>
                <w:bCs w:val="0"/>
                <w:i/>
                <w:iCs/>
                <w:highlight w:val="none"/>
              </w:rPr>
              <w:t xml:space="preserve"> Front Microbiol. </w:t>
            </w:r>
            <w:r>
              <w:rPr>
                <w:bCs/>
                <w:highlight w:val="none"/>
              </w:rPr>
              <w:t>2018 Aug 15; 9:1908. doi: 10.3389/fmicb.2018.01908.</w:t>
            </w:r>
          </w:p>
          <w:p>
            <w:pPr>
              <w:numPr>
                <w:ilvl w:val="0"/>
                <w:numId w:val="1"/>
              </w:numPr>
              <w:spacing w:before="60" w:after="60"/>
              <w:rPr>
                <w:bCs/>
                <w:highlight w:val="none"/>
              </w:rPr>
            </w:pPr>
            <w:r>
              <w:rPr>
                <w:bCs/>
                <w:highlight w:val="none"/>
                <w:lang w:val="en-US" w:eastAsia="zh-CN"/>
              </w:rPr>
              <w:t>Mei Zhu</w:t>
            </w:r>
            <w:r>
              <w:rPr>
                <w:rFonts w:hint="default"/>
                <w:bCs/>
                <w:highlight w:val="none"/>
                <w:lang w:val="en-US" w:eastAsia="zh-CN"/>
              </w:rPr>
              <w:t>, Guangjian Yang, Ailing Li, Li Zong, Zhaoguang Dong, Junwan Lu, Kaibo Zhang, Cong Cheng, Qingli Chang, Xiuying Wu, Jianchao Ying, Xianneng Li, Li Ding, Haixiao Zheng, Junping Yu, Jun Ying,</w:t>
            </w:r>
            <w:r>
              <w:rPr>
                <w:rFonts w:hint="eastAsia"/>
                <w:bCs/>
                <w:highlight w:val="none"/>
                <w:lang w:val="en-US" w:eastAsia="zh-CN"/>
              </w:rPr>
              <w:t xml:space="preserve"> </w:t>
            </w:r>
            <w:r>
              <w:rPr>
                <w:rFonts w:hint="default"/>
                <w:bCs/>
                <w:highlight w:val="none"/>
                <w:lang w:val="en-US" w:eastAsia="zh-CN"/>
              </w:rPr>
              <w:t>Teng Xu, Huiguang Yi, Peizhen Li, Kewei Li, Songquan Wu, Qiyu Bao</w:t>
            </w:r>
            <w:r>
              <w:rPr>
                <w:bCs/>
                <w:highlight w:val="none"/>
                <w:lang w:val="en-US" w:eastAsia="zh-CN"/>
              </w:rPr>
              <w:t>⁎</w:t>
            </w:r>
            <w:r>
              <w:rPr>
                <w:rFonts w:hint="default"/>
                <w:bCs/>
                <w:highlight w:val="none"/>
                <w:lang w:val="en-US" w:eastAsia="zh-CN"/>
              </w:rPr>
              <w:t>, Junrong Wang</w:t>
            </w:r>
            <w:r>
              <w:rPr>
                <w:rFonts w:hint="eastAsia"/>
                <w:bCs/>
                <w:highlight w:val="none"/>
                <w:lang w:val="en-US" w:eastAsia="zh-CN"/>
              </w:rPr>
              <w:t xml:space="preserve">*. </w:t>
            </w:r>
            <w:r>
              <w:rPr>
                <w:bCs/>
                <w:highlight w:val="none"/>
              </w:rPr>
              <w:t>Identification and molecular characterization ofEscherichia coli blaSHV genes in a Chinese teaching hospital.</w:t>
            </w:r>
            <w:r>
              <w:rPr>
                <w:b/>
                <w:bCs w:val="0"/>
                <w:i/>
                <w:iCs/>
                <w:highlight w:val="none"/>
              </w:rPr>
              <w:t>Gene.</w:t>
            </w:r>
            <w:r>
              <w:rPr>
                <w:rFonts w:hint="eastAsia"/>
                <w:b/>
                <w:bCs w:val="0"/>
                <w:i/>
                <w:iCs/>
                <w:highlight w:val="none"/>
                <w:lang w:val="en-US" w:eastAsia="zh-CN"/>
              </w:rPr>
              <w:t xml:space="preserve"> </w:t>
            </w:r>
            <w:r>
              <w:rPr>
                <w:bCs/>
                <w:highlight w:val="none"/>
              </w:rPr>
              <w:t>2017 Feb5</w:t>
            </w:r>
            <w:r>
              <w:rPr>
                <w:rFonts w:hint="eastAsia"/>
                <w:bCs/>
                <w:highlight w:val="none"/>
                <w:lang w:val="en-US" w:eastAsia="zh-CN"/>
              </w:rPr>
              <w:t xml:space="preserve">, </w:t>
            </w:r>
            <w:r>
              <w:rPr>
                <w:bCs/>
                <w:highlight w:val="none"/>
              </w:rPr>
              <w:t>600:29-35.</w:t>
            </w:r>
          </w:p>
          <w:p>
            <w:pPr>
              <w:numPr>
                <w:ilvl w:val="0"/>
                <w:numId w:val="1"/>
              </w:numPr>
              <w:ind w:left="360" w:leftChars="0" w:hanging="360" w:firstLineChars="0"/>
            </w:pPr>
            <w:r>
              <w:rPr>
                <w:bCs/>
                <w:highlight w:val="none"/>
                <w:lang w:val="en-US" w:eastAsia="zh-CN"/>
              </w:rPr>
              <w:t>Jianchao Ying</w:t>
            </w:r>
            <w:r>
              <w:rPr>
                <w:rFonts w:hint="default"/>
                <w:bCs/>
                <w:highlight w:val="none"/>
                <w:lang w:val="en-US" w:eastAsia="zh-CN"/>
              </w:rPr>
              <w:t>†, Songquan Wu†, Kaibo Zhang, Ziqiang Wang, Wen Zhu, Mei Zhu,</w:t>
            </w:r>
            <w:r>
              <w:rPr>
                <w:rFonts w:hint="eastAsia"/>
                <w:bCs/>
                <w:highlight w:val="none"/>
                <w:lang w:val="en-US" w:eastAsia="zh-CN"/>
              </w:rPr>
              <w:t xml:space="preserve"> </w:t>
            </w:r>
            <w:r>
              <w:rPr>
                <w:rFonts w:hint="default"/>
                <w:bCs/>
                <w:highlight w:val="none"/>
                <w:lang w:val="en-US" w:eastAsia="zh-CN"/>
              </w:rPr>
              <w:t>Ying Zhang, Cong Cheng, Huifeng Wang, Huifen Tou, Chuanxin Zhu, Peizhen Li, Jun Ying, Teng Xu, Huiguang Yi, Jinsong Li, Liyan Ni, Zuyuan Xu, Qiyu Bao* and Junwan Lu2*</w:t>
            </w:r>
            <w:r>
              <w:rPr>
                <w:rFonts w:hint="eastAsia"/>
                <w:bCs/>
                <w:highlight w:val="none"/>
                <w:lang w:val="en-US" w:eastAsia="zh-CN"/>
              </w:rPr>
              <w:t>.</w:t>
            </w:r>
            <w:r>
              <w:rPr>
                <w:bCs/>
                <w:highlight w:val="none"/>
              </w:rPr>
              <w:t xml:space="preserve"> Comparative genomics analysis of pKF3-94 in Klebsiella pneumoniae reveals plasmid compatibility and horizontal gene transfer. </w:t>
            </w:r>
            <w:r>
              <w:rPr>
                <w:b/>
                <w:bCs w:val="0"/>
                <w:i/>
                <w:iCs/>
                <w:highlight w:val="none"/>
              </w:rPr>
              <w:t>Front Microbiol.</w:t>
            </w:r>
            <w:r>
              <w:rPr>
                <w:bCs/>
                <w:highlight w:val="none"/>
              </w:rPr>
              <w:t xml:space="preserve"> 2015 Aug 18;6:831. doi: 10.3389/fmicb. 2015.00831.</w:t>
            </w:r>
          </w:p>
          <w:p>
            <w:pPr>
              <w:spacing w:line="440" w:lineRule="exact"/>
              <w:jc w:val="left"/>
              <w:rPr>
                <w:rFonts w:eastAsia="仿宋_GB2312"/>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8" w:hRule="atLeast"/>
        </w:trPr>
        <w:tc>
          <w:tcPr>
            <w:tcW w:w="1474" w:type="dxa"/>
            <w:tcBorders>
              <w:right w:val="single" w:color="auto" w:sz="4" w:space="0"/>
            </w:tcBorders>
            <w:vAlign w:val="center"/>
          </w:tcPr>
          <w:p>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7032" w:type="dxa"/>
            <w:tcBorders>
              <w:left w:val="single" w:color="auto" w:sz="4" w:space="0"/>
            </w:tcBorders>
            <w:vAlign w:val="center"/>
          </w:tcPr>
          <w:p>
            <w:pPr>
              <w:spacing w:line="440" w:lineRule="exact"/>
              <w:rPr>
                <w:rFonts w:eastAsia="仿宋_GB2312"/>
                <w:bCs/>
                <w:color w:val="auto"/>
                <w:sz w:val="24"/>
                <w:szCs w:val="24"/>
              </w:rPr>
            </w:pPr>
            <w:r>
              <w:rPr>
                <w:rFonts w:hint="eastAsia" w:eastAsia="仿宋_GB2312"/>
                <w:bCs/>
                <w:color w:val="auto"/>
                <w:sz w:val="24"/>
                <w:szCs w:val="24"/>
                <w:lang w:eastAsia="zh-CN"/>
              </w:rPr>
              <w:t>包其郁</w:t>
            </w:r>
            <w:r>
              <w:rPr>
                <w:rFonts w:eastAsia="仿宋_GB2312"/>
                <w:bCs/>
                <w:color w:val="auto"/>
                <w:sz w:val="24"/>
                <w:szCs w:val="24"/>
              </w:rPr>
              <w:t>，排名1，</w:t>
            </w:r>
            <w:r>
              <w:rPr>
                <w:rFonts w:hint="eastAsia" w:eastAsia="仿宋_GB2312"/>
                <w:bCs/>
                <w:color w:val="auto"/>
                <w:sz w:val="24"/>
                <w:szCs w:val="24"/>
                <w:lang w:eastAsia="zh-CN"/>
              </w:rPr>
              <w:t>教授</w:t>
            </w:r>
            <w:r>
              <w:rPr>
                <w:rFonts w:eastAsia="仿宋_GB2312"/>
                <w:bCs/>
                <w:color w:val="auto"/>
                <w:sz w:val="24"/>
                <w:szCs w:val="24"/>
              </w:rPr>
              <w:t>，</w:t>
            </w:r>
            <w:r>
              <w:rPr>
                <w:rFonts w:hint="eastAsia" w:eastAsia="仿宋_GB2312"/>
                <w:bCs/>
                <w:color w:val="auto"/>
                <w:sz w:val="24"/>
                <w:szCs w:val="24"/>
                <w:lang w:eastAsia="zh-CN"/>
              </w:rPr>
              <w:t>温州医科大学</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bCs/>
                <w:color w:val="auto"/>
                <w:sz w:val="24"/>
                <w:szCs w:val="24"/>
                <w:lang w:eastAsia="zh-CN"/>
              </w:rPr>
              <w:t>卢俊婉</w:t>
            </w:r>
            <w:r>
              <w:rPr>
                <w:rFonts w:eastAsia="仿宋_GB2312"/>
                <w:bCs/>
                <w:color w:val="auto"/>
                <w:sz w:val="24"/>
                <w:szCs w:val="24"/>
              </w:rPr>
              <w:t>，排名2，</w:t>
            </w:r>
            <w:r>
              <w:rPr>
                <w:rFonts w:hint="eastAsia" w:eastAsia="仿宋_GB2312"/>
                <w:bCs/>
                <w:color w:val="auto"/>
                <w:sz w:val="24"/>
                <w:szCs w:val="24"/>
                <w:lang w:eastAsia="zh-CN"/>
              </w:rPr>
              <w:t>讲师</w:t>
            </w:r>
            <w:r>
              <w:rPr>
                <w:rFonts w:eastAsia="仿宋_GB2312"/>
                <w:bCs/>
                <w:color w:val="auto"/>
                <w:sz w:val="24"/>
                <w:szCs w:val="24"/>
              </w:rPr>
              <w:t>，</w:t>
            </w:r>
            <w:r>
              <w:rPr>
                <w:rFonts w:hint="eastAsia" w:eastAsia="仿宋_GB2312"/>
                <w:bCs/>
                <w:color w:val="auto"/>
                <w:sz w:val="24"/>
                <w:szCs w:val="24"/>
                <w:lang w:eastAsia="zh-CN"/>
              </w:rPr>
              <w:t>温州医科大学（金华职业技术学院</w:t>
            </w:r>
            <w:bookmarkStart w:id="0" w:name="_GoBack"/>
            <w:bookmarkEnd w:id="0"/>
            <w:r>
              <w:rPr>
                <w:rFonts w:hint="eastAsia" w:eastAsia="仿宋_GB2312"/>
                <w:bCs/>
                <w:color w:val="auto"/>
                <w:sz w:val="24"/>
                <w:szCs w:val="24"/>
                <w:lang w:eastAsia="zh-CN"/>
              </w:rPr>
              <w:t>）</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bCs/>
                <w:color w:val="auto"/>
                <w:sz w:val="24"/>
                <w:szCs w:val="24"/>
                <w:lang w:eastAsia="zh-CN"/>
              </w:rPr>
              <w:t>李科伟</w:t>
            </w:r>
            <w:r>
              <w:rPr>
                <w:rFonts w:eastAsia="仿宋_GB2312"/>
                <w:bCs/>
                <w:color w:val="auto"/>
                <w:sz w:val="24"/>
                <w:szCs w:val="24"/>
              </w:rPr>
              <w:t>，排名3，</w:t>
            </w:r>
            <w:r>
              <w:rPr>
                <w:rFonts w:hint="eastAsia" w:eastAsia="仿宋_GB2312"/>
                <w:bCs/>
                <w:color w:val="auto"/>
                <w:sz w:val="24"/>
                <w:szCs w:val="24"/>
                <w:lang w:eastAsia="zh-CN"/>
              </w:rPr>
              <w:t>副教授</w:t>
            </w:r>
            <w:r>
              <w:rPr>
                <w:rFonts w:eastAsia="仿宋_GB2312"/>
                <w:bCs/>
                <w:color w:val="auto"/>
                <w:sz w:val="24"/>
                <w:szCs w:val="24"/>
              </w:rPr>
              <w:t>，</w:t>
            </w:r>
            <w:r>
              <w:rPr>
                <w:rFonts w:hint="eastAsia" w:eastAsia="仿宋_GB2312"/>
                <w:bCs/>
                <w:color w:val="auto"/>
                <w:sz w:val="24"/>
                <w:szCs w:val="24"/>
                <w:lang w:eastAsia="zh-CN"/>
              </w:rPr>
              <w:t>温州医科大学</w:t>
            </w:r>
            <w:r>
              <w:rPr>
                <w:rFonts w:eastAsia="仿宋_GB2312"/>
                <w:bCs/>
                <w:color w:val="auto"/>
                <w:sz w:val="24"/>
                <w:szCs w:val="24"/>
              </w:rPr>
              <w:t>；</w:t>
            </w:r>
          </w:p>
          <w:p>
            <w:pPr>
              <w:spacing w:line="440" w:lineRule="exact"/>
              <w:rPr>
                <w:rFonts w:eastAsia="仿宋_GB2312"/>
                <w:bCs/>
                <w:color w:val="auto"/>
                <w:sz w:val="24"/>
                <w:szCs w:val="24"/>
              </w:rPr>
            </w:pPr>
            <w:r>
              <w:rPr>
                <w:rFonts w:hint="eastAsia" w:eastAsia="仿宋_GB2312"/>
                <w:bCs/>
                <w:color w:val="auto"/>
                <w:sz w:val="24"/>
                <w:szCs w:val="24"/>
                <w:lang w:eastAsia="zh-CN"/>
              </w:rPr>
              <w:t>李佩珍</w:t>
            </w:r>
            <w:r>
              <w:rPr>
                <w:rFonts w:eastAsia="仿宋_GB2312"/>
                <w:bCs/>
                <w:color w:val="auto"/>
                <w:sz w:val="24"/>
                <w:szCs w:val="24"/>
              </w:rPr>
              <w:t>，排名</w:t>
            </w:r>
            <w:r>
              <w:rPr>
                <w:rFonts w:hint="eastAsia" w:eastAsia="仿宋_GB2312"/>
                <w:bCs/>
                <w:color w:val="auto"/>
                <w:sz w:val="24"/>
                <w:szCs w:val="24"/>
                <w:lang w:val="en-US" w:eastAsia="zh-CN"/>
              </w:rPr>
              <w:t>4</w:t>
            </w:r>
            <w:r>
              <w:rPr>
                <w:rFonts w:eastAsia="仿宋_GB2312"/>
                <w:bCs/>
                <w:color w:val="auto"/>
                <w:sz w:val="24"/>
                <w:szCs w:val="24"/>
              </w:rPr>
              <w:t>，</w:t>
            </w:r>
            <w:r>
              <w:rPr>
                <w:rFonts w:hint="eastAsia" w:eastAsia="仿宋_GB2312"/>
                <w:bCs/>
                <w:color w:val="auto"/>
                <w:sz w:val="24"/>
                <w:szCs w:val="24"/>
                <w:lang w:val="en-US" w:eastAsia="zh-CN"/>
              </w:rPr>
              <w:t>高级实验师</w:t>
            </w:r>
            <w:r>
              <w:rPr>
                <w:rFonts w:eastAsia="仿宋_GB2312"/>
                <w:bCs/>
                <w:color w:val="auto"/>
                <w:sz w:val="24"/>
                <w:szCs w:val="24"/>
              </w:rPr>
              <w:t>，</w:t>
            </w:r>
            <w:r>
              <w:rPr>
                <w:rFonts w:hint="eastAsia" w:eastAsia="仿宋_GB2312"/>
                <w:bCs/>
                <w:color w:val="auto"/>
                <w:sz w:val="24"/>
                <w:szCs w:val="24"/>
                <w:lang w:eastAsia="zh-CN"/>
              </w:rPr>
              <w:t>温州医科大学</w:t>
            </w:r>
            <w:r>
              <w:rPr>
                <w:rFonts w:eastAsia="仿宋_GB2312"/>
                <w:bCs/>
                <w:color w:val="auto"/>
                <w:sz w:val="24"/>
                <w:szCs w:val="24"/>
              </w:rPr>
              <w:t>；</w:t>
            </w:r>
          </w:p>
          <w:p>
            <w:pPr>
              <w:spacing w:line="440" w:lineRule="exact"/>
              <w:rPr>
                <w:rFonts w:hint="eastAsia" w:eastAsia="仿宋_GB2312"/>
                <w:bCs/>
                <w:color w:val="auto"/>
                <w:sz w:val="24"/>
                <w:szCs w:val="24"/>
                <w:lang w:val="en-US" w:eastAsia="zh-CN"/>
              </w:rPr>
            </w:pPr>
            <w:r>
              <w:rPr>
                <w:rFonts w:hint="eastAsia" w:eastAsia="仿宋_GB2312"/>
                <w:bCs/>
                <w:color w:val="auto"/>
                <w:sz w:val="24"/>
                <w:szCs w:val="24"/>
                <w:lang w:val="en-US" w:eastAsia="zh-CN"/>
              </w:rPr>
              <w:t>朱玫，排名5，主管技师，温州医科大学（浙江医院）。</w:t>
            </w:r>
          </w:p>
          <w:p>
            <w:pPr>
              <w:spacing w:line="440" w:lineRule="exact"/>
              <w:rPr>
                <w:rFonts w:eastAsia="仿宋_GB2312"/>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1474" w:type="dxa"/>
            <w:tcBorders>
              <w:right w:val="single" w:color="auto" w:sz="4" w:space="0"/>
            </w:tcBorders>
            <w:vAlign w:val="center"/>
          </w:tcPr>
          <w:p>
            <w:pPr>
              <w:spacing w:line="440" w:lineRule="exact"/>
              <w:jc w:val="center"/>
              <w:rPr>
                <w:rFonts w:eastAsia="仿宋"/>
                <w:bCs/>
                <w:color w:val="auto"/>
                <w:sz w:val="24"/>
                <w:szCs w:val="24"/>
              </w:rPr>
            </w:pPr>
            <w:r>
              <w:rPr>
                <w:rFonts w:eastAsia="仿宋"/>
                <w:bCs/>
                <w:color w:val="auto"/>
                <w:sz w:val="28"/>
                <w:szCs w:val="24"/>
              </w:rPr>
              <w:t>主要完成单位</w:t>
            </w:r>
          </w:p>
        </w:tc>
        <w:tc>
          <w:tcPr>
            <w:tcW w:w="7032" w:type="dxa"/>
            <w:tcBorders>
              <w:left w:val="single" w:color="auto" w:sz="4" w:space="0"/>
            </w:tcBorders>
            <w:vAlign w:val="center"/>
          </w:tcPr>
          <w:p>
            <w:pPr>
              <w:spacing w:line="440" w:lineRule="exact"/>
              <w:jc w:val="left"/>
              <w:rPr>
                <w:rFonts w:hint="eastAsia" w:eastAsia="仿宋_GB2312"/>
                <w:bCs/>
                <w:color w:val="auto"/>
                <w:sz w:val="24"/>
                <w:szCs w:val="24"/>
                <w:lang w:eastAsia="zh-CN"/>
              </w:rPr>
            </w:pPr>
            <w:r>
              <w:rPr>
                <w:rFonts w:eastAsia="仿宋_GB2312"/>
                <w:bCs/>
                <w:color w:val="auto"/>
                <w:sz w:val="24"/>
                <w:szCs w:val="24"/>
              </w:rPr>
              <w:t>单位名称：</w:t>
            </w:r>
            <w:r>
              <w:rPr>
                <w:rFonts w:hint="eastAsia" w:eastAsia="仿宋_GB2312"/>
                <w:bCs/>
                <w:color w:val="auto"/>
                <w:sz w:val="24"/>
                <w:szCs w:val="24"/>
                <w:lang w:eastAsia="zh-CN"/>
              </w:rPr>
              <w:t>温州医科大学</w:t>
            </w:r>
          </w:p>
          <w:p>
            <w:pPr>
              <w:spacing w:line="440" w:lineRule="exact"/>
              <w:jc w:val="left"/>
              <w:rPr>
                <w:rFonts w:eastAsia="仿宋"/>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474" w:type="dxa"/>
            <w:vAlign w:val="center"/>
          </w:tcPr>
          <w:p>
            <w:pPr>
              <w:jc w:val="center"/>
              <w:rPr>
                <w:rStyle w:val="4"/>
                <w:rFonts w:eastAsia="仿宋_GB2312"/>
                <w:b w:val="0"/>
                <w:color w:val="auto"/>
                <w:sz w:val="28"/>
                <w:szCs w:val="28"/>
              </w:rPr>
            </w:pPr>
            <w:r>
              <w:rPr>
                <w:rStyle w:val="4"/>
                <w:rFonts w:eastAsia="仿宋_GB2312"/>
                <w:b w:val="0"/>
                <w:color w:val="auto"/>
                <w:sz w:val="28"/>
                <w:szCs w:val="28"/>
              </w:rPr>
              <w:t>提名单位</w:t>
            </w:r>
          </w:p>
        </w:tc>
        <w:tc>
          <w:tcPr>
            <w:tcW w:w="7032" w:type="dxa"/>
            <w:vAlign w:val="center"/>
          </w:tcPr>
          <w:p>
            <w:pPr>
              <w:contextualSpacing/>
              <w:jc w:val="center"/>
              <w:rPr>
                <w:rStyle w:val="4"/>
                <w:rFonts w:hint="eastAsia" w:eastAsia="宋体"/>
                <w:b w:val="0"/>
                <w:color w:val="auto"/>
                <w:lang w:eastAsia="zh-CN"/>
              </w:rPr>
            </w:pPr>
            <w:r>
              <w:rPr>
                <w:rStyle w:val="4"/>
                <w:rFonts w:hint="eastAsia"/>
                <w:b w:val="0"/>
                <w:color w:val="auto"/>
                <w:lang w:eastAsia="zh-CN"/>
              </w:rPr>
              <w:t>浙江省教育厅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3" w:hRule="atLeast"/>
        </w:trPr>
        <w:tc>
          <w:tcPr>
            <w:tcW w:w="1474" w:type="dxa"/>
            <w:vAlign w:val="center"/>
          </w:tcPr>
          <w:p>
            <w:pPr>
              <w:jc w:val="center"/>
              <w:rPr>
                <w:rStyle w:val="4"/>
                <w:rFonts w:eastAsia="仿宋_GB2312"/>
                <w:b w:val="0"/>
                <w:color w:val="auto"/>
                <w:sz w:val="28"/>
                <w:szCs w:val="28"/>
              </w:rPr>
            </w:pPr>
            <w:r>
              <w:rPr>
                <w:rStyle w:val="4"/>
                <w:rFonts w:eastAsia="仿宋_GB2312"/>
                <w:b w:val="0"/>
                <w:color w:val="auto"/>
                <w:sz w:val="28"/>
                <w:szCs w:val="28"/>
              </w:rPr>
              <w:t>提名意见</w:t>
            </w:r>
          </w:p>
        </w:tc>
        <w:tc>
          <w:tcPr>
            <w:tcW w:w="7032" w:type="dxa"/>
            <w:vAlign w:val="center"/>
          </w:tcPr>
          <w:p>
            <w:pPr>
              <w:ind w:firstLine="420" w:firstLineChars="200"/>
            </w:pPr>
            <w:r>
              <w:rPr>
                <w:rFonts w:hint="eastAsia"/>
              </w:rPr>
              <w:t>该项目在有关科研基金和科研项目的资助下，对铜绿假单胞菌耐药相关基因</w:t>
            </w:r>
            <w:r>
              <w:rPr>
                <w:rFonts w:hint="eastAsia"/>
                <w:i/>
                <w:iCs/>
              </w:rPr>
              <w:t>ampG</w:t>
            </w:r>
            <w:r>
              <w:rPr>
                <w:rFonts w:hint="eastAsia"/>
              </w:rPr>
              <w:t>的多样性结构及其与功能的关系进行了研究，结合生物信息学手段预测</w:t>
            </w:r>
            <w:r>
              <w:rPr>
                <w:rFonts w:hint="eastAsia"/>
                <w:i/>
                <w:iCs/>
              </w:rPr>
              <w:t>ampG</w:t>
            </w:r>
            <w:r>
              <w:rPr>
                <w:rFonts w:hint="eastAsia"/>
              </w:rPr>
              <w:t>基因编码的膜转运蛋白的三维结构，</w:t>
            </w:r>
            <w:r>
              <w:rPr>
                <w:rFonts w:hint="eastAsia"/>
                <w:lang w:eastAsia="zh-CN"/>
              </w:rPr>
              <w:t>并通过实验验证了与</w:t>
            </w:r>
            <w:r>
              <w:rPr>
                <w:rFonts w:hint="eastAsia"/>
                <w:lang w:val="en-US" w:eastAsia="zh-CN"/>
              </w:rPr>
              <w:t>AmpG功能相关的关键氨基酸位点，</w:t>
            </w:r>
            <w:r>
              <w:rPr>
                <w:rFonts w:hint="eastAsia"/>
              </w:rPr>
              <w:t>为建立以AmpG为靶点的抗菌药物筛选模型，筛选化合物库，从化合物库中找出与之结合的能阻遇AmpG蛋白跨膜转运糖肽功能的化合物打下基础。该项目同时研究了细菌耐药性形成机制和耐药性基因水平转移引起耐药性播散的分子机制，尤其是</w:t>
            </w:r>
            <w:r>
              <w:rPr>
                <w:rFonts w:hint="eastAsia"/>
                <w:lang w:eastAsia="zh-CN"/>
              </w:rPr>
              <w:t>发现了两个新型耐药性基因和两个耐药性基因的新亚型，为更加深入研究细菌耐药性机制打下基础。</w:t>
            </w:r>
            <w:r>
              <w:rPr>
                <w:rFonts w:hint="eastAsia"/>
              </w:rPr>
              <w:t>本项目的研究</w:t>
            </w:r>
            <w:r>
              <w:rPr>
                <w:rFonts w:hint="eastAsia"/>
                <w:lang w:eastAsia="zh-CN"/>
              </w:rPr>
              <w:t>成果</w:t>
            </w:r>
            <w:r>
              <w:rPr>
                <w:rFonts w:hint="eastAsia"/>
              </w:rPr>
              <w:t>对进一步揭示细菌的耐药性形成机制</w:t>
            </w:r>
            <w:r>
              <w:rPr>
                <w:rFonts w:hint="eastAsia"/>
                <w:lang w:eastAsia="zh-CN"/>
              </w:rPr>
              <w:t>，筛选</w:t>
            </w:r>
            <w:r>
              <w:rPr>
                <w:rFonts w:hint="eastAsia"/>
              </w:rPr>
              <w:t>或设计化合物用于抗感染治疗</w:t>
            </w:r>
            <w:r>
              <w:rPr>
                <w:rFonts w:hint="eastAsia"/>
                <w:lang w:eastAsia="zh-CN"/>
              </w:rPr>
              <w:t>都</w:t>
            </w:r>
            <w:r>
              <w:rPr>
                <w:rFonts w:hint="eastAsia"/>
              </w:rPr>
              <w:t>具有一定的参考价值。</w:t>
            </w:r>
          </w:p>
          <w:p>
            <w:pPr>
              <w:contextualSpacing/>
              <w:jc w:val="center"/>
              <w:rPr>
                <w:rStyle w:val="4"/>
                <w:b w:val="0"/>
                <w:color w:val="auto"/>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D82AAE"/>
    <w:multiLevelType w:val="multilevel"/>
    <w:tmpl w:val="71D82A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153EA"/>
    <w:rsid w:val="02602A9A"/>
    <w:rsid w:val="0B4D15AE"/>
    <w:rsid w:val="0C563DC2"/>
    <w:rsid w:val="28D04EA7"/>
    <w:rsid w:val="328153EA"/>
    <w:rsid w:val="3373210A"/>
    <w:rsid w:val="3EC0355E"/>
    <w:rsid w:val="4D6809C2"/>
    <w:rsid w:val="56714628"/>
    <w:rsid w:val="6A657C96"/>
    <w:rsid w:val="6EB02AEB"/>
    <w:rsid w:val="70777266"/>
    <w:rsid w:val="714D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2022-01-26T03:21:00Z</dcterms:created>
  <dc:creator>☆ωμxμ聪☆</dc:creator>
  <cp:lastModifiedBy>包其郁</cp:lastModifiedBy>
  <dcterms:modified xsi:type="dcterms:W3CDTF">2022-02-23T02:34:03Z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3348114FBC3A496F92AF954BF0731DE1</vt:lpwstr>
  </property>
</Properties>
</file>